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5" w:rsidRDefault="00FB5DB5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 w:rsidRPr="00FB5DB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17622" cy="895350"/>
            <wp:effectExtent l="0" t="0" r="0" b="0"/>
            <wp:docPr id="1" name="Picture 1" descr="C:\Users\Rob Tamburri\Documents\Balog + Tamburri CPA's LLC\SmallLogo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 Tamburri\Documents\Balog + Tamburri CPA's LLC\SmallLogoB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03" cy="9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85" w:rsidRDefault="00B90A85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White Paper </w:t>
      </w:r>
    </w:p>
    <w:p w:rsidR="00B90A85" w:rsidRDefault="00B90A85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Tax Best Practices for Small Businesses</w:t>
      </w:r>
    </w:p>
    <w:p w:rsidR="00B90A85" w:rsidRDefault="00F0774A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Adapted by: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Rob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Tamburri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CPA\PFS</w:t>
      </w:r>
    </w:p>
    <w:p w:rsidR="00B90A85" w:rsidRDefault="00B90A85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Managing Partner</w:t>
      </w:r>
    </w:p>
    <w:p w:rsidR="00B90A85" w:rsidRDefault="00B90A85" w:rsidP="00DF32D5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</w:p>
    <w:p w:rsidR="00DF32D5" w:rsidRPr="00DF32D5" w:rsidRDefault="002F2C05" w:rsidP="00DF32D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32D5" w:rsidRPr="00DF32D5" w:rsidRDefault="00DF32D5" w:rsidP="00DF32D5">
      <w:pPr>
        <w:spacing w:before="75" w:after="75" w:line="312" w:lineRule="atLeast"/>
        <w:rPr>
          <w:rFonts w:ascii="Arial" w:hAnsi="Arial" w:cs="Arial"/>
          <w:color w:val="000000"/>
          <w:sz w:val="24"/>
          <w:szCs w:val="24"/>
        </w:rPr>
      </w:pPr>
      <w:r w:rsidRPr="00DF32D5">
        <w:rPr>
          <w:rFonts w:ascii="Arial" w:hAnsi="Arial" w:cs="Arial"/>
          <w:b/>
          <w:bCs/>
          <w:color w:val="000000"/>
          <w:sz w:val="24"/>
          <w:szCs w:val="24"/>
        </w:rPr>
        <w:t>Tax Best Practices for Small Businesses</w:t>
      </w:r>
    </w:p>
    <w:p w:rsidR="004E7A51" w:rsidRDefault="004E7A51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Hire a good CPA to take care of your books. Bookkeepers or Enrolled Agents (people who pass an IRS tax exam) may be less expensive, but:</w:t>
      </w:r>
    </w:p>
    <w:p w:rsidR="004E7A51" w:rsidRDefault="004E7A51" w:rsidP="004E7A51">
      <w:pPr>
        <w:numPr>
          <w:ilvl w:val="1"/>
          <w:numId w:val="2"/>
        </w:numPr>
        <w:ind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may not have professional liability insurance to cover you in the event they make a mistake. CPA’s are both personally liable for errors and must carry professional liability insurance</w:t>
      </w:r>
    </w:p>
    <w:p w:rsidR="004E7A51" w:rsidRDefault="004E7A51" w:rsidP="004E7A51">
      <w:pPr>
        <w:numPr>
          <w:ilvl w:val="1"/>
          <w:numId w:val="2"/>
        </w:numPr>
        <w:ind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may not be current with tax law. CPA’s are requires to take 40 hours of Continuing Professional Education annually to maintain their license. </w:t>
      </w:r>
    </w:p>
    <w:p w:rsidR="004E7A51" w:rsidRDefault="004E7A51" w:rsidP="004E7A51">
      <w:pPr>
        <w:numPr>
          <w:ilvl w:val="1"/>
          <w:numId w:val="2"/>
        </w:numPr>
        <w:ind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CPA’s must pass a three day comprehensive examination to demonstrate their competency and knowledge level. </w:t>
      </w:r>
    </w:p>
    <w:p w:rsidR="00085C96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Keep good records about who is an "employee" and who is an "independent contractor."</w:t>
      </w:r>
      <w:r w:rsidR="00085C96">
        <w:rPr>
          <w:color w:val="000000"/>
          <w:sz w:val="24"/>
          <w:szCs w:val="24"/>
        </w:rPr>
        <w:t xml:space="preserve">  Make sure all contractors meet the IRS test. Ask you CPA. </w:t>
      </w:r>
    </w:p>
    <w:p w:rsidR="00085C96" w:rsidRDefault="00085C96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Require all Employees to complete both IRS Form W-9 as well as ICE Form I-9 BEFORE they are hired. </w:t>
      </w:r>
    </w:p>
    <w:p w:rsidR="00DF32D5" w:rsidRPr="00DF32D5" w:rsidRDefault="00085C96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Require all contractors to complete IRS form W-9 BEFORE paying their invoice. You may be left with a non-deductible expense otherwise. </w:t>
      </w:r>
    </w:p>
    <w:p w:rsidR="00DF32D5" w:rsidRPr="00DF32D5" w:rsidRDefault="00085C96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Talk to your CPA about the rules relating to Sales Tax for your business. Fully document every location in which your company has a </w:t>
      </w:r>
      <w:r w:rsidR="00DF32D5" w:rsidRPr="00DF32D5">
        <w:rPr>
          <w:color w:val="000000"/>
          <w:sz w:val="24"/>
          <w:szCs w:val="24"/>
        </w:rPr>
        <w:t>"physica</w:t>
      </w:r>
      <w:r>
        <w:rPr>
          <w:color w:val="000000"/>
          <w:sz w:val="24"/>
          <w:szCs w:val="24"/>
        </w:rPr>
        <w:t xml:space="preserve">l presence." Meet with your CPA to ensure you </w:t>
      </w:r>
      <w:r w:rsidR="00DF32D5" w:rsidRPr="00DF32D5">
        <w:rPr>
          <w:color w:val="000000"/>
          <w:sz w:val="24"/>
          <w:szCs w:val="24"/>
        </w:rPr>
        <w:t xml:space="preserve">comply with </w:t>
      </w:r>
      <w:r>
        <w:rPr>
          <w:color w:val="000000"/>
          <w:sz w:val="24"/>
          <w:szCs w:val="24"/>
        </w:rPr>
        <w:t xml:space="preserve">every </w:t>
      </w:r>
      <w:r w:rsidR="00DF32D5" w:rsidRPr="00DF32D5"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</w:rPr>
        <w:t>’s</w:t>
      </w:r>
      <w:r w:rsidR="00DF32D5" w:rsidRPr="00DF32D5">
        <w:rPr>
          <w:color w:val="000000"/>
          <w:sz w:val="24"/>
          <w:szCs w:val="24"/>
        </w:rPr>
        <w:t xml:space="preserve"> rules governing sales tax collection.</w:t>
      </w:r>
    </w:p>
    <w:p w:rsidR="00DF32D5" w:rsidRPr="00DF32D5" w:rsidRDefault="00B90A85" w:rsidP="00B90A8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sure you or your CPA </w:t>
      </w:r>
      <w:r w:rsidR="00085C96">
        <w:rPr>
          <w:color w:val="000000"/>
          <w:sz w:val="24"/>
          <w:szCs w:val="24"/>
        </w:rPr>
        <w:t>i</w:t>
      </w:r>
      <w:r w:rsidR="00085C96" w:rsidRPr="00DF32D5">
        <w:rPr>
          <w:color w:val="000000"/>
          <w:sz w:val="24"/>
          <w:szCs w:val="24"/>
        </w:rPr>
        <w:t>nvests</w:t>
      </w:r>
      <w:r w:rsidR="00DF32D5" w:rsidRPr="00DF32D5">
        <w:rPr>
          <w:color w:val="000000"/>
          <w:sz w:val="24"/>
          <w:szCs w:val="24"/>
        </w:rPr>
        <w:t xml:space="preserve"> in good tax software accounting systems - those that track your records and regularly provide updates to new IRS rules.</w:t>
      </w:r>
    </w:p>
    <w:p w:rsidR="00DF32D5" w:rsidRPr="00DF32D5" w:rsidRDefault="00B90A8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Confirm that your CPA </w:t>
      </w:r>
      <w:r w:rsidR="00DF32D5" w:rsidRPr="00DF32D5">
        <w:rPr>
          <w:color w:val="000000"/>
          <w:sz w:val="24"/>
          <w:szCs w:val="24"/>
        </w:rPr>
        <w:t xml:space="preserve">has experience in your type of </w:t>
      </w:r>
      <w:r w:rsidR="00085C96" w:rsidRPr="00DF32D5">
        <w:rPr>
          <w:color w:val="000000"/>
          <w:sz w:val="24"/>
          <w:szCs w:val="24"/>
        </w:rPr>
        <w:t>business;</w:t>
      </w:r>
      <w:r w:rsidR="00085C96">
        <w:rPr>
          <w:color w:val="000000"/>
          <w:sz w:val="24"/>
          <w:szCs w:val="24"/>
        </w:rPr>
        <w:t xml:space="preserve"> whether it's a restaurant or a manufacturing</w:t>
      </w:r>
      <w:r w:rsidR="00DF32D5" w:rsidRPr="00DF32D5">
        <w:rPr>
          <w:color w:val="000000"/>
          <w:sz w:val="24"/>
          <w:szCs w:val="24"/>
        </w:rPr>
        <w:t xml:space="preserve"> business (see #13 and #17).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 xml:space="preserve">Keep </w:t>
      </w:r>
      <w:r w:rsidR="00B90A85">
        <w:rPr>
          <w:color w:val="000000"/>
          <w:sz w:val="24"/>
          <w:szCs w:val="24"/>
        </w:rPr>
        <w:t xml:space="preserve">original invoices and other sound </w:t>
      </w:r>
      <w:r w:rsidRPr="00DF32D5">
        <w:rPr>
          <w:color w:val="000000"/>
          <w:sz w:val="24"/>
          <w:szCs w:val="24"/>
        </w:rPr>
        <w:t xml:space="preserve">records </w:t>
      </w:r>
      <w:r w:rsidR="00B90A85">
        <w:rPr>
          <w:color w:val="000000"/>
          <w:sz w:val="24"/>
          <w:szCs w:val="24"/>
        </w:rPr>
        <w:t xml:space="preserve">that prove how much you </w:t>
      </w:r>
      <w:r w:rsidRPr="00DF32D5">
        <w:rPr>
          <w:color w:val="000000"/>
          <w:sz w:val="24"/>
          <w:szCs w:val="24"/>
        </w:rPr>
        <w:t>paid for, and the date you placed in service, all business equipment, business vehicles,</w:t>
      </w:r>
      <w:r w:rsidR="00B90A85">
        <w:rPr>
          <w:color w:val="000000"/>
          <w:sz w:val="24"/>
          <w:szCs w:val="24"/>
        </w:rPr>
        <w:t xml:space="preserve"> office furniture, computers and</w:t>
      </w:r>
      <w:r w:rsidR="00F0774A">
        <w:rPr>
          <w:color w:val="000000"/>
          <w:sz w:val="24"/>
          <w:szCs w:val="24"/>
        </w:rPr>
        <w:t xml:space="preserve"> tools that will serve the busin</w:t>
      </w:r>
      <w:r w:rsidR="00B90A85">
        <w:rPr>
          <w:color w:val="000000"/>
          <w:sz w:val="24"/>
          <w:szCs w:val="24"/>
        </w:rPr>
        <w:t xml:space="preserve">ess for more than one year. </w:t>
      </w:r>
      <w:r w:rsidRPr="00DF32D5">
        <w:rPr>
          <w:color w:val="000000"/>
          <w:sz w:val="24"/>
          <w:szCs w:val="24"/>
        </w:rPr>
        <w:t xml:space="preserve"> </w:t>
      </w:r>
      <w:r w:rsidR="00B90A85">
        <w:rPr>
          <w:color w:val="000000"/>
          <w:sz w:val="24"/>
          <w:szCs w:val="24"/>
        </w:rPr>
        <w:t>Provide copies of these to your CPA.</w:t>
      </w:r>
    </w:p>
    <w:p w:rsidR="00DF32D5" w:rsidRPr="00DF32D5" w:rsidRDefault="00B90A8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NEVER </w:t>
      </w:r>
      <w:r w:rsidR="00DF32D5" w:rsidRPr="00DF32D5">
        <w:rPr>
          <w:color w:val="000000"/>
          <w:sz w:val="24"/>
          <w:szCs w:val="24"/>
        </w:rPr>
        <w:t>consider using funds you have withheld for employee payroll taxes (or any taxes, for that matter) as a short-term loan to tide you over during a shortfall in working capital (see #19).</w:t>
      </w:r>
      <w:r>
        <w:rPr>
          <w:color w:val="000000"/>
          <w:sz w:val="24"/>
          <w:szCs w:val="24"/>
        </w:rPr>
        <w:t xml:space="preserve"> This is viewed as stealing from your employees and can cost you your business, house and a possible jail sentence.</w:t>
      </w:r>
    </w:p>
    <w:p w:rsidR="00DF32D5" w:rsidRPr="00DF32D5" w:rsidRDefault="00085C96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your CPA</w:t>
      </w:r>
      <w:r w:rsidR="00F0774A">
        <w:rPr>
          <w:color w:val="000000"/>
          <w:sz w:val="24"/>
          <w:szCs w:val="24"/>
        </w:rPr>
        <w:t xml:space="preserve"> about calculating and paying your es</w:t>
      </w:r>
      <w:r>
        <w:rPr>
          <w:color w:val="000000"/>
          <w:sz w:val="24"/>
          <w:szCs w:val="24"/>
        </w:rPr>
        <w:t>timated taxes. It is o</w:t>
      </w:r>
      <w:r w:rsidR="00DF32D5" w:rsidRPr="00DF32D5">
        <w:rPr>
          <w:color w:val="000000"/>
          <w:sz w:val="24"/>
          <w:szCs w:val="24"/>
        </w:rPr>
        <w:t>ne of the biggest traps for smal</w:t>
      </w:r>
      <w:r>
        <w:rPr>
          <w:color w:val="000000"/>
          <w:sz w:val="24"/>
          <w:szCs w:val="24"/>
        </w:rPr>
        <w:t xml:space="preserve">l business taxpayers. Be sure that you pay </w:t>
      </w:r>
      <w:r>
        <w:rPr>
          <w:color w:val="000000"/>
          <w:sz w:val="24"/>
          <w:szCs w:val="24"/>
        </w:rPr>
        <w:lastRenderedPageBreak/>
        <w:t>them on time, calculate</w:t>
      </w:r>
      <w:r w:rsidR="00DF32D5" w:rsidRPr="00DF32D5">
        <w:rPr>
          <w:color w:val="000000"/>
          <w:sz w:val="24"/>
          <w:szCs w:val="24"/>
        </w:rPr>
        <w:t xml:space="preserve"> them correctly, and </w:t>
      </w:r>
      <w:r>
        <w:rPr>
          <w:color w:val="000000"/>
          <w:sz w:val="24"/>
          <w:szCs w:val="24"/>
        </w:rPr>
        <w:t>investigate</w:t>
      </w:r>
      <w:r w:rsidR="00DF32D5" w:rsidRPr="00DF32D5">
        <w:rPr>
          <w:color w:val="000000"/>
          <w:sz w:val="24"/>
          <w:szCs w:val="24"/>
        </w:rPr>
        <w:t xml:space="preserve"> the safe harbors that can protect you against underpayments. </w:t>
      </w:r>
      <w:r>
        <w:rPr>
          <w:color w:val="000000"/>
          <w:sz w:val="24"/>
          <w:szCs w:val="24"/>
        </w:rPr>
        <w:t>Failure to do so can cost you dearly,</w:t>
      </w:r>
      <w:r w:rsidR="00DF32D5" w:rsidRPr="00DF32D5">
        <w:rPr>
          <w:color w:val="000000"/>
          <w:sz w:val="24"/>
          <w:szCs w:val="24"/>
        </w:rPr>
        <w:t xml:space="preserve"> so </w:t>
      </w:r>
      <w:r w:rsidR="00B90A85">
        <w:rPr>
          <w:color w:val="000000"/>
          <w:sz w:val="24"/>
          <w:szCs w:val="24"/>
        </w:rPr>
        <w:t xml:space="preserve">work with your CPA </w:t>
      </w:r>
      <w:r w:rsidR="00DF32D5" w:rsidRPr="00DF32D5">
        <w:rPr>
          <w:color w:val="000000"/>
          <w:sz w:val="24"/>
          <w:szCs w:val="24"/>
        </w:rPr>
        <w:t>who knows the rules cold.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 xml:space="preserve">If </w:t>
      </w:r>
      <w:r w:rsidR="00085C96">
        <w:rPr>
          <w:color w:val="000000"/>
          <w:sz w:val="24"/>
          <w:szCs w:val="24"/>
        </w:rPr>
        <w:t>a member of your family or other close relative</w:t>
      </w:r>
      <w:r w:rsidRPr="00DF32D5">
        <w:rPr>
          <w:color w:val="000000"/>
          <w:sz w:val="24"/>
          <w:szCs w:val="24"/>
        </w:rPr>
        <w:t xml:space="preserve"> works i</w:t>
      </w:r>
      <w:r w:rsidR="00085C96">
        <w:rPr>
          <w:color w:val="000000"/>
          <w:sz w:val="24"/>
          <w:szCs w:val="24"/>
        </w:rPr>
        <w:t>n your business, make sure they abide</w:t>
      </w:r>
      <w:r w:rsidRPr="00DF32D5">
        <w:rPr>
          <w:color w:val="000000"/>
          <w:sz w:val="24"/>
          <w:szCs w:val="24"/>
        </w:rPr>
        <w:t xml:space="preserve"> by the same employment rules as your unrelated employees.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Select a "tax year" for your business that reflects the natural ebb and flow of your business's receipts and disbursements. This way, you won’t get caught in a cash crunch when tax time comes.</w:t>
      </w:r>
    </w:p>
    <w:p w:rsidR="00DF32D5" w:rsidRPr="00DF32D5" w:rsidRDefault="00B90A8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(or your CPA</w:t>
      </w:r>
      <w:r w:rsidR="00DF32D5" w:rsidRPr="00DF32D5">
        <w:rPr>
          <w:color w:val="000000"/>
          <w:sz w:val="24"/>
          <w:szCs w:val="24"/>
        </w:rPr>
        <w:t>) should retain all relevant</w:t>
      </w:r>
      <w:r>
        <w:rPr>
          <w:color w:val="000000"/>
          <w:sz w:val="24"/>
          <w:szCs w:val="24"/>
        </w:rPr>
        <w:t xml:space="preserve"> tax records for at least seven (7) </w:t>
      </w:r>
      <w:r w:rsidR="00DF32D5" w:rsidRPr="00DF32D5">
        <w:rPr>
          <w:color w:val="000000"/>
          <w:sz w:val="24"/>
          <w:szCs w:val="24"/>
        </w:rPr>
        <w:t>years, and if your records relate to property and depreciation, keep them until the property is disposed of, plus an additional three years.</w:t>
      </w:r>
      <w:r>
        <w:rPr>
          <w:color w:val="000000"/>
          <w:sz w:val="24"/>
          <w:szCs w:val="24"/>
        </w:rPr>
        <w:t xml:space="preserve"> IRS regulations.</w:t>
      </w:r>
    </w:p>
    <w:p w:rsidR="00DF32D5" w:rsidRPr="00DF32D5" w:rsidRDefault="00B90A8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 a mileage log for all business vehicles. You MUST be able to provide written proof of business mileage, including odometer readings, </w:t>
      </w:r>
      <w:r w:rsidR="00DF32D5" w:rsidRPr="00DF32D5">
        <w:rPr>
          <w:color w:val="000000"/>
          <w:sz w:val="24"/>
          <w:szCs w:val="24"/>
        </w:rPr>
        <w:t>Keep detailed records on how you use your personal or business-owned vehicle for business vs. personal purposes.</w:t>
      </w:r>
      <w:r>
        <w:rPr>
          <w:color w:val="000000"/>
          <w:sz w:val="24"/>
          <w:szCs w:val="24"/>
        </w:rPr>
        <w:t xml:space="preserve"> Talk to your CPA about how to maintain these records. 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Hire a reputable third-party administrator to manage your 401(k) plan and other tax-favored employee benefits.</w:t>
      </w:r>
      <w:r w:rsidR="00B90A85">
        <w:rPr>
          <w:color w:val="000000"/>
          <w:sz w:val="24"/>
          <w:szCs w:val="24"/>
        </w:rPr>
        <w:t xml:space="preserve"> Consider incorporating insurance products as part of the plan to provide a greater tax haven. 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Make sure that you (</w:t>
      </w:r>
      <w:r w:rsidR="00B90A85">
        <w:rPr>
          <w:color w:val="000000"/>
          <w:sz w:val="24"/>
          <w:szCs w:val="24"/>
        </w:rPr>
        <w:t>and your CPA</w:t>
      </w:r>
      <w:r w:rsidRPr="00DF32D5">
        <w:rPr>
          <w:color w:val="000000"/>
          <w:sz w:val="24"/>
          <w:szCs w:val="24"/>
        </w:rPr>
        <w:t>) are familiar with the tax rules, including the favorable tax credits and deductions that are unique to your business.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 xml:space="preserve">If it becomes necessary for your small business to open a foreign bank account in order to pay vendors or others in another country, make </w:t>
      </w:r>
      <w:r w:rsidR="00B90A85">
        <w:rPr>
          <w:color w:val="000000"/>
          <w:sz w:val="24"/>
          <w:szCs w:val="24"/>
        </w:rPr>
        <w:t>sure you (and your CPA</w:t>
      </w:r>
      <w:r w:rsidRPr="00DF32D5">
        <w:rPr>
          <w:color w:val="000000"/>
          <w:sz w:val="24"/>
          <w:szCs w:val="24"/>
        </w:rPr>
        <w:t>) are vigilant in following the new rules on foreign bank accounts, known by the acronym FATCA.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 xml:space="preserve">If your hope is that your business will continue after you die, under the leadership of another family member or designated heir, </w:t>
      </w:r>
      <w:r w:rsidR="007B08A4">
        <w:rPr>
          <w:color w:val="000000"/>
          <w:sz w:val="24"/>
          <w:szCs w:val="24"/>
        </w:rPr>
        <w:t xml:space="preserve">work with your CPA and a reputable insurance agent and </w:t>
      </w:r>
      <w:r w:rsidRPr="00DF32D5">
        <w:rPr>
          <w:color w:val="000000"/>
          <w:sz w:val="24"/>
          <w:szCs w:val="24"/>
        </w:rPr>
        <w:t xml:space="preserve">take steps to </w:t>
      </w:r>
      <w:r w:rsidR="007B08A4">
        <w:rPr>
          <w:color w:val="000000"/>
          <w:sz w:val="24"/>
          <w:szCs w:val="24"/>
        </w:rPr>
        <w:t xml:space="preserve">secure “Key Man” insurance and to </w:t>
      </w:r>
      <w:r w:rsidRPr="00DF32D5">
        <w:rPr>
          <w:color w:val="000000"/>
          <w:sz w:val="24"/>
          <w:szCs w:val="24"/>
        </w:rPr>
        <w:t>protect the business against a forced sale in order to pay inheritance taxes.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Don't become foolishly emboldened by thinking that the IRS will have to "prove" that you have done something that doesn't comport with the tax law - the burden of proof is </w:t>
      </w:r>
      <w:r w:rsidRPr="00DF32D5">
        <w:rPr>
          <w:color w:val="000000"/>
          <w:sz w:val="24"/>
          <w:szCs w:val="24"/>
          <w:u w:val="single"/>
        </w:rPr>
        <w:t>always</w:t>
      </w:r>
      <w:r w:rsidRPr="00DF32D5">
        <w:rPr>
          <w:color w:val="000000"/>
          <w:sz w:val="24"/>
          <w:szCs w:val="24"/>
        </w:rPr>
        <w:t> on you, not the IRS.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 xml:space="preserve">Become familiar with the tax rules surrounding starting, running, selling, and shutting down a business. Determine whether you should operate as a partnership, an S corporation, an LLC, or a sole proprietorship. </w:t>
      </w:r>
      <w:r w:rsidR="007B08A4">
        <w:rPr>
          <w:color w:val="000000"/>
          <w:sz w:val="24"/>
          <w:szCs w:val="24"/>
        </w:rPr>
        <w:t>CPA</w:t>
      </w:r>
      <w:r w:rsidRPr="00DF32D5">
        <w:rPr>
          <w:color w:val="000000"/>
          <w:sz w:val="24"/>
          <w:szCs w:val="24"/>
        </w:rPr>
        <w:t xml:space="preserve"> should be closely familiar with these rules.</w:t>
      </w:r>
      <w:r w:rsidR="007B08A4">
        <w:rPr>
          <w:color w:val="000000"/>
          <w:sz w:val="24"/>
          <w:szCs w:val="24"/>
        </w:rPr>
        <w:t xml:space="preserve"> If not, find another CPA.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Have a one-on-on</w:t>
      </w:r>
      <w:r w:rsidR="007B08A4">
        <w:rPr>
          <w:color w:val="000000"/>
          <w:sz w:val="24"/>
          <w:szCs w:val="24"/>
        </w:rPr>
        <w:t>e conversation with your CPA</w:t>
      </w:r>
      <w:r w:rsidRPr="00DF32D5">
        <w:rPr>
          <w:color w:val="000000"/>
          <w:sz w:val="24"/>
          <w:szCs w:val="24"/>
        </w:rPr>
        <w:t xml:space="preserve"> about the Affordable Care Act.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If you can't pay the taxes you owe to the IRS, or another tax</w:t>
      </w:r>
      <w:r w:rsidR="007B08A4">
        <w:rPr>
          <w:color w:val="000000"/>
          <w:sz w:val="24"/>
          <w:szCs w:val="24"/>
        </w:rPr>
        <w:t xml:space="preserve"> agency, contact your CPA</w:t>
      </w:r>
      <w:r w:rsidRPr="00DF32D5">
        <w:rPr>
          <w:color w:val="000000"/>
          <w:sz w:val="24"/>
          <w:szCs w:val="24"/>
        </w:rPr>
        <w:t xml:space="preserve"> right away. This situation won't get better by ignoring it.</w:t>
      </w:r>
    </w:p>
    <w:p w:rsidR="00DF32D5" w:rsidRPr="00DF32D5" w:rsidRDefault="00DF32D5" w:rsidP="00DF32D5">
      <w:pPr>
        <w:numPr>
          <w:ilvl w:val="0"/>
          <w:numId w:val="2"/>
        </w:numPr>
        <w:ind w:left="525" w:right="525"/>
        <w:rPr>
          <w:color w:val="000000"/>
          <w:sz w:val="24"/>
          <w:szCs w:val="24"/>
        </w:rPr>
      </w:pPr>
      <w:r w:rsidRPr="00DF32D5">
        <w:rPr>
          <w:color w:val="000000"/>
          <w:sz w:val="24"/>
          <w:szCs w:val="24"/>
        </w:rPr>
        <w:t>When someone pays you in cash, it doesn't mean that payment is nontaxable. The IRS has state-of-the-art statistical technology and models based on spending habits and bank accounts to build a case against alleged tax cheats.</w:t>
      </w:r>
    </w:p>
    <w:sectPr w:rsidR="00DF32D5" w:rsidRPr="00DF32D5" w:rsidSect="00A1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05" w:rsidRDefault="002F2C05" w:rsidP="00153D4B">
      <w:r>
        <w:separator/>
      </w:r>
    </w:p>
  </w:endnote>
  <w:endnote w:type="continuationSeparator" w:id="0">
    <w:p w:rsidR="002F2C05" w:rsidRDefault="002F2C05" w:rsidP="0015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Default="00153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Pr="00BA5FBD" w:rsidRDefault="00153D4B" w:rsidP="00153D4B">
    <w:pPr>
      <w:pStyle w:val="Footer"/>
      <w:rPr>
        <w:sz w:val="18"/>
        <w:szCs w:val="18"/>
      </w:rPr>
    </w:pPr>
    <w:r w:rsidRPr="00BA5FBD">
      <w:rPr>
        <w:sz w:val="18"/>
        <w:szCs w:val="18"/>
      </w:rPr>
      <w:t>C</w:t>
    </w:r>
    <w:r>
      <w:rPr>
        <w:sz w:val="18"/>
        <w:szCs w:val="18"/>
      </w:rPr>
      <w:t xml:space="preserve">opyright 2015, </w:t>
    </w:r>
    <w:proofErr w:type="spellStart"/>
    <w:r>
      <w:rPr>
        <w:sz w:val="18"/>
        <w:szCs w:val="18"/>
      </w:rPr>
      <w:t>Balog+Tamburri</w:t>
    </w:r>
    <w:proofErr w:type="spellEnd"/>
    <w:r>
      <w:rPr>
        <w:sz w:val="18"/>
        <w:szCs w:val="18"/>
      </w:rPr>
      <w:t xml:space="preserve"> CPAs LLC</w:t>
    </w:r>
  </w:p>
  <w:p w:rsidR="00153D4B" w:rsidRDefault="00153D4B" w:rsidP="00153D4B">
    <w:pPr>
      <w:pStyle w:val="Footer"/>
      <w:rPr>
        <w:sz w:val="18"/>
        <w:szCs w:val="18"/>
      </w:rPr>
    </w:pPr>
    <w:r w:rsidRPr="00BA5FBD">
      <w:rPr>
        <w:sz w:val="18"/>
        <w:szCs w:val="18"/>
      </w:rPr>
      <w:t>All rights reserved.</w:t>
    </w:r>
  </w:p>
  <w:p w:rsidR="00153D4B" w:rsidRPr="00BA5FBD" w:rsidRDefault="00153D4B" w:rsidP="00153D4B">
    <w:pPr>
      <w:pStyle w:val="Footer"/>
      <w:rPr>
        <w:sz w:val="18"/>
        <w:szCs w:val="18"/>
      </w:rPr>
    </w:pPr>
    <w:r>
      <w:rPr>
        <w:sz w:val="18"/>
        <w:szCs w:val="18"/>
      </w:rPr>
      <w:t>4221 Clearwater Lane, Jacksonville FL 32223</w:t>
    </w:r>
  </w:p>
  <w:p w:rsidR="00153D4B" w:rsidRDefault="00153D4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Default="00153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05" w:rsidRDefault="002F2C05" w:rsidP="00153D4B">
      <w:r>
        <w:separator/>
      </w:r>
    </w:p>
  </w:footnote>
  <w:footnote w:type="continuationSeparator" w:id="0">
    <w:p w:rsidR="002F2C05" w:rsidRDefault="002F2C05" w:rsidP="0015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Default="00153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Default="00153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B" w:rsidRDefault="00153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39A"/>
    <w:multiLevelType w:val="multilevel"/>
    <w:tmpl w:val="E52A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2940"/>
    <w:multiLevelType w:val="multilevel"/>
    <w:tmpl w:val="5BE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D5"/>
    <w:rsid w:val="00022DF2"/>
    <w:rsid w:val="00026536"/>
    <w:rsid w:val="00041E9B"/>
    <w:rsid w:val="0005391D"/>
    <w:rsid w:val="00055625"/>
    <w:rsid w:val="00066EDC"/>
    <w:rsid w:val="00067264"/>
    <w:rsid w:val="00085C96"/>
    <w:rsid w:val="000916C9"/>
    <w:rsid w:val="000E66B4"/>
    <w:rsid w:val="0011055B"/>
    <w:rsid w:val="00131FC8"/>
    <w:rsid w:val="0014793C"/>
    <w:rsid w:val="00153D4B"/>
    <w:rsid w:val="001660FC"/>
    <w:rsid w:val="0018653C"/>
    <w:rsid w:val="00195789"/>
    <w:rsid w:val="001C5D99"/>
    <w:rsid w:val="001C76E5"/>
    <w:rsid w:val="001D0A87"/>
    <w:rsid w:val="001E598F"/>
    <w:rsid w:val="001F6F49"/>
    <w:rsid w:val="00206B5F"/>
    <w:rsid w:val="00214C41"/>
    <w:rsid w:val="00253813"/>
    <w:rsid w:val="00261BBF"/>
    <w:rsid w:val="0026699B"/>
    <w:rsid w:val="002824C1"/>
    <w:rsid w:val="002833BC"/>
    <w:rsid w:val="0028520C"/>
    <w:rsid w:val="00286160"/>
    <w:rsid w:val="002D6ECC"/>
    <w:rsid w:val="002F2C05"/>
    <w:rsid w:val="00313569"/>
    <w:rsid w:val="00316286"/>
    <w:rsid w:val="0032089C"/>
    <w:rsid w:val="003209EC"/>
    <w:rsid w:val="0034651C"/>
    <w:rsid w:val="00351DB9"/>
    <w:rsid w:val="00357260"/>
    <w:rsid w:val="003A02DC"/>
    <w:rsid w:val="003A17D5"/>
    <w:rsid w:val="003B4A90"/>
    <w:rsid w:val="003C6436"/>
    <w:rsid w:val="003D5B84"/>
    <w:rsid w:val="003E7B08"/>
    <w:rsid w:val="003F28D0"/>
    <w:rsid w:val="0040682A"/>
    <w:rsid w:val="004651E1"/>
    <w:rsid w:val="0047305C"/>
    <w:rsid w:val="00482DEC"/>
    <w:rsid w:val="00483485"/>
    <w:rsid w:val="00486765"/>
    <w:rsid w:val="004B4F26"/>
    <w:rsid w:val="004D6557"/>
    <w:rsid w:val="004E51E1"/>
    <w:rsid w:val="004E7A51"/>
    <w:rsid w:val="004F1BF2"/>
    <w:rsid w:val="005B7342"/>
    <w:rsid w:val="005D1C57"/>
    <w:rsid w:val="005D72BD"/>
    <w:rsid w:val="005E1DA5"/>
    <w:rsid w:val="005E586B"/>
    <w:rsid w:val="00603D4A"/>
    <w:rsid w:val="00625D9F"/>
    <w:rsid w:val="0062669B"/>
    <w:rsid w:val="006268F0"/>
    <w:rsid w:val="00651A8A"/>
    <w:rsid w:val="00680776"/>
    <w:rsid w:val="00680F6E"/>
    <w:rsid w:val="00681F50"/>
    <w:rsid w:val="006910C4"/>
    <w:rsid w:val="00694B88"/>
    <w:rsid w:val="006B2ACC"/>
    <w:rsid w:val="006D1904"/>
    <w:rsid w:val="006D19B9"/>
    <w:rsid w:val="0073212A"/>
    <w:rsid w:val="00762BE1"/>
    <w:rsid w:val="00765EFE"/>
    <w:rsid w:val="00771F95"/>
    <w:rsid w:val="007779BA"/>
    <w:rsid w:val="00792AF8"/>
    <w:rsid w:val="007B08A4"/>
    <w:rsid w:val="007C1CCE"/>
    <w:rsid w:val="007C77AA"/>
    <w:rsid w:val="007D3CE7"/>
    <w:rsid w:val="00843B2E"/>
    <w:rsid w:val="008737CE"/>
    <w:rsid w:val="008C1467"/>
    <w:rsid w:val="008C5C9E"/>
    <w:rsid w:val="008C63A8"/>
    <w:rsid w:val="008D7CD7"/>
    <w:rsid w:val="008E51A5"/>
    <w:rsid w:val="00904E46"/>
    <w:rsid w:val="00921284"/>
    <w:rsid w:val="00930BB1"/>
    <w:rsid w:val="009436C3"/>
    <w:rsid w:val="009A11B3"/>
    <w:rsid w:val="009E18E7"/>
    <w:rsid w:val="009E62E6"/>
    <w:rsid w:val="009E6C17"/>
    <w:rsid w:val="00A17BD7"/>
    <w:rsid w:val="00A36FAA"/>
    <w:rsid w:val="00A5026F"/>
    <w:rsid w:val="00A6426C"/>
    <w:rsid w:val="00A73690"/>
    <w:rsid w:val="00AB3E14"/>
    <w:rsid w:val="00AE1DF1"/>
    <w:rsid w:val="00AF3CF4"/>
    <w:rsid w:val="00B065EF"/>
    <w:rsid w:val="00B2619B"/>
    <w:rsid w:val="00B35EF0"/>
    <w:rsid w:val="00B36F63"/>
    <w:rsid w:val="00B4362E"/>
    <w:rsid w:val="00B54C41"/>
    <w:rsid w:val="00B90A85"/>
    <w:rsid w:val="00B927E6"/>
    <w:rsid w:val="00B9696D"/>
    <w:rsid w:val="00BA2BDD"/>
    <w:rsid w:val="00BB0A0E"/>
    <w:rsid w:val="00BB41A7"/>
    <w:rsid w:val="00BD739F"/>
    <w:rsid w:val="00BF120B"/>
    <w:rsid w:val="00C13A8D"/>
    <w:rsid w:val="00C442C7"/>
    <w:rsid w:val="00C65B69"/>
    <w:rsid w:val="00C738D9"/>
    <w:rsid w:val="00C763BC"/>
    <w:rsid w:val="00C77470"/>
    <w:rsid w:val="00C87691"/>
    <w:rsid w:val="00CB6B2A"/>
    <w:rsid w:val="00CE7EFE"/>
    <w:rsid w:val="00CF4E79"/>
    <w:rsid w:val="00D03D69"/>
    <w:rsid w:val="00D3503F"/>
    <w:rsid w:val="00D57035"/>
    <w:rsid w:val="00D76D1B"/>
    <w:rsid w:val="00D76DEB"/>
    <w:rsid w:val="00D86EB3"/>
    <w:rsid w:val="00DA15AF"/>
    <w:rsid w:val="00DC5D8D"/>
    <w:rsid w:val="00DD4FCE"/>
    <w:rsid w:val="00DD7F90"/>
    <w:rsid w:val="00DF101F"/>
    <w:rsid w:val="00DF32D5"/>
    <w:rsid w:val="00DF601D"/>
    <w:rsid w:val="00E36407"/>
    <w:rsid w:val="00E468E4"/>
    <w:rsid w:val="00E54D67"/>
    <w:rsid w:val="00E654F3"/>
    <w:rsid w:val="00E70816"/>
    <w:rsid w:val="00E8467F"/>
    <w:rsid w:val="00EA5510"/>
    <w:rsid w:val="00EC33EC"/>
    <w:rsid w:val="00EC37CF"/>
    <w:rsid w:val="00ED30D1"/>
    <w:rsid w:val="00EE3BE9"/>
    <w:rsid w:val="00F01078"/>
    <w:rsid w:val="00F0774A"/>
    <w:rsid w:val="00F07A41"/>
    <w:rsid w:val="00F37170"/>
    <w:rsid w:val="00F57985"/>
    <w:rsid w:val="00F57AEA"/>
    <w:rsid w:val="00F67686"/>
    <w:rsid w:val="00F73363"/>
    <w:rsid w:val="00F83A27"/>
    <w:rsid w:val="00F929A0"/>
    <w:rsid w:val="00F94E65"/>
    <w:rsid w:val="00FB5DB5"/>
    <w:rsid w:val="00FC5A95"/>
    <w:rsid w:val="00FC5B38"/>
    <w:rsid w:val="00FE507D"/>
    <w:rsid w:val="00FF07FA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2AF6B-50A4-4C6E-B707-F2ACDBBD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292929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auto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DF32D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32D5"/>
    <w:rPr>
      <w:rFonts w:ascii="Times New Roman" w:hAnsi="Times New Roman"/>
      <w:b/>
      <w:bCs/>
      <w:color w:val="auto"/>
      <w:sz w:val="20"/>
      <w:szCs w:val="20"/>
    </w:rPr>
  </w:style>
  <w:style w:type="paragraph" w:customStyle="1" w:styleId="lead">
    <w:name w:val="lead"/>
    <w:basedOn w:val="Normal"/>
    <w:rsid w:val="00DF32D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2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2D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F32D5"/>
    <w:rPr>
      <w:b/>
      <w:bCs/>
    </w:rPr>
  </w:style>
  <w:style w:type="character" w:customStyle="1" w:styleId="apple-converted-space">
    <w:name w:val="apple-converted-space"/>
    <w:basedOn w:val="DefaultParagraphFont"/>
    <w:rsid w:val="00DF32D5"/>
  </w:style>
  <w:style w:type="paragraph" w:styleId="Header">
    <w:name w:val="header"/>
    <w:basedOn w:val="Normal"/>
    <w:link w:val="HeaderChar"/>
    <w:unhideWhenUsed/>
    <w:rsid w:val="00153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3D4B"/>
    <w:rPr>
      <w:rFonts w:ascii="Times New Roman" w:hAnsi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153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3D4B"/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2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 lombrozo</cp:lastModifiedBy>
  <cp:revision>2</cp:revision>
  <dcterms:created xsi:type="dcterms:W3CDTF">2015-08-13T14:28:00Z</dcterms:created>
  <dcterms:modified xsi:type="dcterms:W3CDTF">2015-08-13T14:28:00Z</dcterms:modified>
</cp:coreProperties>
</file>